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ASSOCIAZIONE CONTATTO APS</w:t>
      </w:r>
    </w:p>
    <w:p>
      <w:pPr>
        <w:spacing w:after="70" w:before="0"/>
        <w:jc w:val="center"/>
      </w:pPr>
      <w:r>
        <w:rPr>
          <w:rFonts w:ascii="Arial" w:cs="Arial" w:eastAsia="Arial" w:hAnsi="Arial"/>
          <w:sz w:val="19"/>
          <w:szCs w:val="19"/>
        </w:rPr>
        <w:t xml:space="preserve">Via Litta Modignani 61 – 20161 Milano  |  C.F. 97375990153</w:t>
      </w:r>
    </w:p>
    <w:p>
      <w:pPr>
        <w:spacing w:after="70" w:before="0"/>
        <w:jc w:val="center"/>
      </w:pPr>
      <w:r>
        <w:rPr>
          <w:rFonts w:ascii="Arial" w:cs="Arial" w:eastAsia="Arial" w:hAnsi="Arial"/>
          <w:sz w:val="19"/>
          <w:szCs w:val="19"/>
        </w:rPr>
        <w:t xml:space="preserve">Associazione di Promozione Sociale  |  Forma giuridica: Associazione</w:t>
      </w:r>
    </w:p>
    <w:p>
      <w:pPr>
        <w:spacing w:after="360" w:before="160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BILANCIO ABBREVIATO AL 31 DICEMBRE 2025</w:t>
      </w:r>
    </w:p>
    <w:p>
      <w:pPr>
        <w:spacing w:after="160" w:before="280"/>
        <w:jc w:val="center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STATO PATRIMONIALE – ATTIVO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"/>
        <w:gridCol w:w="360"/>
        <w:gridCol w:w="360"/>
        <w:gridCol w:w="4800"/>
        <w:gridCol w:w="2200"/>
        <w:gridCol w:w="2200"/>
      </w:tblGrid>
      <w:tr>
        <w:tc>
          <w:tcPr>
            <w:tcW w:type="dxa" w:w="28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9"/>
                <w:szCs w:val="19"/>
              </w:rPr>
              <w:t xml:space="preserve">Esercizio 2025</w:t>
            </w:r>
          </w:p>
        </w:tc>
        <w:tc>
          <w:tcPr>
            <w:tcW w:type="dxa" w:w="22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9"/>
                <w:szCs w:val="19"/>
              </w:rPr>
              <w:t xml:space="preserve">Esercizio 2024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A)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Crediti verso soci per versamenti ancora dovuti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B)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Immobilizzazioni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5800"/>
            <w:gridSpan w:val="4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C)  Attivo circolante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I.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Rimanenze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II.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Crediti: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</w:t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verso clienti e altri (carta di credito ricaricabile)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1.181,45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7.504,60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5.</w:t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verso altri (INAIL, anticipi, erario, altri crediti)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27,05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582,55</w:t>
            </w:r>
          </w:p>
        </w:tc>
      </w:tr>
      <w:tr>
        <w:tc>
          <w:tcPr>
            <w:tcW w:type="dxa" w:w="5800"/>
            <w:gridSpan w:val="4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    Totale crediti (II)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1.208,50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8.087,15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III.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Attività finanziarie che non costituiscono immobilizzazioni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IV.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Disponibilità liquide: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Banca Intesa San Paolo c/c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70.758,24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62.967,57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PayPal c/c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357,51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190,32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Denaro in cassa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44,29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45,99</w:t>
            </w:r>
          </w:p>
        </w:tc>
      </w:tr>
      <w:tr>
        <w:tc>
          <w:tcPr>
            <w:tcW w:type="dxa" w:w="5800"/>
            <w:gridSpan w:val="4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    Totale disponibilità liquide (IV)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71.160,04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63.203,88</w:t>
            </w:r>
          </w:p>
        </w:tc>
      </w:tr>
      <w:tr>
        <w:tc>
          <w:tcPr>
            <w:tcW w:type="dxa" w:w="5800"/>
            <w:gridSpan w:val="4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Totale attivo circolante  (C)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72.368,54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71.291,03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D)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Ratei e risconti attivi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39.680,79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41.832,78</w:t>
            </w:r>
          </w:p>
        </w:tc>
      </w:tr>
      <w:tr>
        <w:tc>
          <w:tcPr>
            <w:tcW w:type="dxa" w:w="5800"/>
            <w:gridSpan w:val="4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TOTALE ATTIVO</w:t>
            </w:r>
          </w:p>
        </w:tc>
        <w:tc>
          <w:tcPr>
            <w:tcW w:type="dxa" w:w="22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112.049,33</w:t>
            </w:r>
          </w:p>
        </w:tc>
        <w:tc>
          <w:tcPr>
            <w:tcW w:type="dxa" w:w="22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113.123,81</w:t>
            </w:r>
          </w:p>
        </w:tc>
      </w:tr>
    </w:tbl>
    <w:p>
      <w:pPr>
        <w:spacing w:after="100" w:before="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after="160" w:before="280"/>
        <w:jc w:val="center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STATO PATRIMONIALE – PASSIVO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"/>
        <w:gridCol w:w="360"/>
        <w:gridCol w:w="360"/>
        <w:gridCol w:w="4800"/>
        <w:gridCol w:w="2200"/>
        <w:gridCol w:w="2200"/>
      </w:tblGrid>
      <w:tr>
        <w:tc>
          <w:tcPr>
            <w:tcW w:type="dxa" w:w="28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9"/>
                <w:szCs w:val="19"/>
              </w:rPr>
              <w:t xml:space="preserve">Esercizio 2025</w:t>
            </w:r>
          </w:p>
        </w:tc>
        <w:tc>
          <w:tcPr>
            <w:tcW w:type="dxa" w:w="22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9"/>
                <w:szCs w:val="19"/>
              </w:rPr>
              <w:t xml:space="preserve">Esercizio 2024</w:t>
            </w:r>
          </w:p>
        </w:tc>
      </w:tr>
      <w:tr>
        <w:tc>
          <w:tcPr>
            <w:tcW w:type="dxa" w:w="5800"/>
            <w:gridSpan w:val="4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A)  Patrimonio netto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I.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Fondo di dotazione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20.000,00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20.000,00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IV.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Riserva straordinaria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1.018,71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1.018,71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VII.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Altre riserve di utili (fondo riserva utili)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56.262,12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47.967,18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IX.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Utile dell'esercizio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8.294,94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8D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8D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IX.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8D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8D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Perdita dell'esercizio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8D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(7.919,41)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8D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5800"/>
            <w:gridSpan w:val="4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Totale patrimonio netto  (A)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69.361,42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77.280,83</w:t>
            </w:r>
          </w:p>
        </w:tc>
      </w:tr>
      <w:tr>
        <w:tc>
          <w:tcPr>
            <w:tcW w:type="dxa" w:w="5800"/>
            <w:gridSpan w:val="4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B)  Fondi per rischi ed oneri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</w:t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Acc.to Fondo TR105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17.641,56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12.927,00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</w:t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Acc.to Fondo Contributo Prog. Semola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3.191,65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11.500,00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</w:t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Acc.to Fondo 5×1000 anno 2023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3.652,10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2.810,49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</w:t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Acc.to Fondo Mixitè anno 2023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1.990,27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2.258,43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</w:t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Acc.to Fondo Erasmus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11.368,50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5800"/>
            <w:gridSpan w:val="4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Totale fondi per rischi ed oneri  (B)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37.844,08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29.495,92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C)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Trattamento di fine rapporto di lavoro subordinato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5800"/>
            <w:gridSpan w:val="4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D)  Debiti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Fatture/note credito da ricevere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3.641,16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Debiti verso fornitori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211,60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Partite passive da liquidare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65,00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9.</w:t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Debiti tributari (ritenute lavoro autonomo)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337,34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1.070,30</w:t>
            </w:r>
          </w:p>
        </w:tc>
      </w:tr>
      <w:tr>
        <w:tc>
          <w:tcPr>
            <w:tcW w:type="dxa" w:w="5800"/>
            <w:gridSpan w:val="4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Totale debiti  (D)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337,34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4.988,06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E)</w:t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6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Ratei e risconti passivi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4.506,49</w:t>
            </w:r>
          </w:p>
        </w:tc>
        <w:tc>
          <w:tcPr>
            <w:tcW w:type="dxa" w:w="22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1.358,40</w:t>
            </w:r>
          </w:p>
        </w:tc>
      </w:tr>
      <w:tr>
        <w:tc>
          <w:tcPr>
            <w:tcW w:type="dxa" w:w="5800"/>
            <w:gridSpan w:val="4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TOTALE PASSIVO</w:t>
            </w:r>
          </w:p>
        </w:tc>
        <w:tc>
          <w:tcPr>
            <w:tcW w:type="dxa" w:w="22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112.049,33 (*)</w:t>
            </w:r>
          </w:p>
        </w:tc>
        <w:tc>
          <w:tcPr>
            <w:tcW w:type="dxa" w:w="22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113.123,21</w:t>
            </w:r>
          </w:p>
        </w:tc>
      </w:tr>
    </w:tbl>
    <w:p>
      <w:pPr>
        <w:spacing w:after="60" w:before="80"/>
        <w:jc w:val="both"/>
      </w:pPr>
      <w:r>
        <w:rPr>
          <w:rFonts w:ascii="Arial" w:cs="Arial" w:eastAsia="Arial" w:hAnsi="Arial"/>
          <w:b w:val="false"/>
          <w:bCs w:val="false"/>
          <w:i/>
          <w:iCs/>
          <w:color w:val="000000"/>
          <w:sz w:val="16"/>
          <w:szCs w:val="16"/>
        </w:rPr>
        <w:t xml:space="preserve">(*) Il totale a pareggio include la perdita d’esercizio quale posta rettificativa del patrimonio netto ex art. 2424 c.c. Il totale attivo e il totale passivo senza la perdita coincidono a € 112.049,33.</w:t>
      </w:r>
    </w:p>
    <w:p>
      <w:pPr>
        <w:spacing w:after="100" w:before="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after="160" w:before="280"/>
        <w:jc w:val="center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CONTO ECONOMICO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"/>
        <w:gridCol w:w="340"/>
        <w:gridCol w:w="5980"/>
        <w:gridCol w:w="1700"/>
        <w:gridCol w:w="1700"/>
      </w:tblGrid>
      <w:tr>
        <w:tc>
          <w:tcPr>
            <w:tcW w:type="dxa" w:w="28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9"/>
                <w:szCs w:val="19"/>
              </w:rPr>
              <w:t xml:space="preserve">Esercizio 2025</w:t>
            </w:r>
          </w:p>
        </w:tc>
        <w:tc>
          <w:tcPr>
            <w:tcW w:type="dxa" w:w="17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9"/>
                <w:szCs w:val="19"/>
              </w:rPr>
              <w:t xml:space="preserve">Esercizio 2024</w:t>
            </w:r>
          </w:p>
        </w:tc>
      </w:tr>
      <w:tr>
        <w:tc>
          <w:tcPr>
            <w:tcW w:type="dxa" w:w="6600"/>
            <w:gridSpan w:val="3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A)  Valore della produzione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</w:t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Ricavi delle vendite e delle prestazioni: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Donazioni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1.628,04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1.172,45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Contributo annuale soci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362,54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374,56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Utilizzo Fondo 5×1000 anno 2023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2.151,56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5.274,19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Contributi Progetto TR105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25.952,83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25.285,44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Donazioni Laboratorio Ricucire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269,50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1.134,30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Contributi Progetto Mixitè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2.682,58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3.524,04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Contributi Progetto R3 – Insieme per la Recovery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28.663,12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3.665,37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Contributi Progetto EU-4-H Let’s talk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8.436,38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7.855,80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Utilizzo Fondo Semola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8.308,35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Utilizzo Fondo Mixitè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268,16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Contributi Progetto Attiva-mente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7.131,12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22.132,02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Contributi Progetto EU-4-H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17.561,62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Contributi Progetto Musica in reparto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15.000,00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Utilizzo Fondo Attivamente / EU-4-H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8.087,68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Contributi Progetto R2 / QUBI / altri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5.083,37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Erogazione quote cinque per mille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2.810,49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Donazioni Laboratorio Solidale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70,00</w:t>
            </w:r>
          </w:p>
        </w:tc>
      </w:tr>
      <w:tr>
        <w:tc>
          <w:tcPr>
            <w:tcW w:type="dxa" w:w="6600"/>
            <w:gridSpan w:val="3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    Totale ricavi delle vendite e delle prestazioni  (1)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85.854,18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119.031,33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5.</w:t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Altri ricavi e proventi (abbuoni attivi, arrotondamenti)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0,57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0,01</w:t>
            </w:r>
          </w:p>
        </w:tc>
      </w:tr>
      <w:tr>
        <w:tc>
          <w:tcPr>
            <w:tcW w:type="dxa" w:w="6600"/>
            <w:gridSpan w:val="3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Totale valore della produzione  (A)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85.854,75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119.031,34</w:t>
            </w:r>
          </w:p>
        </w:tc>
      </w:tr>
      <w:tr>
        <w:tc>
          <w:tcPr>
            <w:tcW w:type="dxa" w:w="6600"/>
            <w:gridSpan w:val="3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B)  Costi della produzione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6.</w:t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Costi per materie prime, sussidiarie, di consumo e merci: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Acquisti direttamente afferenti ai progetti istituzionali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16.068,84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6600"/>
            <w:gridSpan w:val="3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    Totale  (6)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16.068,84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7.</w:t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Costi per servizi: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Prestazioni di lavoro autonomo (collaboratori nei progetti)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71.493,26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72.633,46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Contribuzioni cassa previdenza lav. autonomo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754,92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Lavoro autonomo occasionale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9.288,48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Contribuzione Progetto Musica in SPDC (erogazione a terzi)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2.500,00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Utenze (telefonia, internet)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169,65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Spese commerciali e di viaggio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18,00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Spese amministrative e generali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3.551,32</w:t>
            </w:r>
          </w:p>
        </w:tc>
      </w:tr>
      <w:tr>
        <w:tc>
          <w:tcPr>
            <w:tcW w:type="dxa" w:w="6600"/>
            <w:gridSpan w:val="3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    Totale  (7)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73.993,26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86.415,83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8.</w:t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Costi per godimento beni di terzi (licenze software)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11,31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1.220,00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12.</w:t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Accantonamenti per rischi (variaz. netta fondi vincolati)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5.068,92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14.</w:t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Oneri diversi di gestione: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Manutenzioni beni propri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292,80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Imposte e tasse (bollo e altre deducibili)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68,00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83,00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Erogazioni liberali deducibili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1.100,00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30,00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Multe e ammende indeducibili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33,33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Costi diversi afferenti ai progetti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9.554,07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Arrotondamenti e altri oneri diversi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0,58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8,89</w:t>
            </w:r>
          </w:p>
        </w:tc>
      </w:tr>
      <w:tr>
        <w:tc>
          <w:tcPr>
            <w:tcW w:type="dxa" w:w="6600"/>
            <w:gridSpan w:val="3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    Totale  (14)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1.201,91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9.968,76</w:t>
            </w:r>
          </w:p>
        </w:tc>
      </w:tr>
      <w:tr>
        <w:tc>
          <w:tcPr>
            <w:tcW w:type="dxa" w:w="6600"/>
            <w:gridSpan w:val="3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Totale costi della produzione  (B)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93.774,74 (**)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102.673,51</w:t>
            </w:r>
          </w:p>
        </w:tc>
      </w:tr>
      <w:tr>
        <w:tc>
          <w:tcPr>
            <w:tcW w:type="dxa" w:w="6600"/>
            <w:gridSpan w:val="3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8D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Differenza tra valore e costi della produzione  (A – B)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8D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(7.919,99)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8D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16.357,83</w:t>
            </w:r>
          </w:p>
        </w:tc>
      </w:tr>
      <w:tr>
        <w:tc>
          <w:tcPr>
            <w:tcW w:type="dxa" w:w="6600"/>
            <w:gridSpan w:val="3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C)  Proventi e oneri finanziari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EBF3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17.</w:t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Interessi e altri oneri finanziari (commissioni bancarie)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(205,51)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25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  di cui: indeducibili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(0,89)</w:t>
            </w:r>
          </w:p>
        </w:tc>
      </w:tr>
      <w:tr>
        <w:tc>
          <w:tcPr>
            <w:tcW w:type="dxa" w:w="6600"/>
            <w:gridSpan w:val="3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Totale proventi e oneri finanziari  (C)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(205,51)</w:t>
            </w:r>
          </w:p>
        </w:tc>
      </w:tr>
      <w:tr>
        <w:tc>
          <w:tcPr>
            <w:tcW w:type="dxa" w:w="6600"/>
            <w:gridSpan w:val="3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Risultato prima delle imposte  (A – B ± C)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(7.919,99)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DDE8F3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8.296,15</w:t>
            </w:r>
          </w:p>
        </w:tc>
      </w:tr>
      <w:tr>
        <w:tc>
          <w:tcPr>
            <w:tcW w:type="dxa" w:w="2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34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20.</w:t>
            </w:r>
          </w:p>
        </w:tc>
        <w:tc>
          <w:tcPr>
            <w:tcW w:type="dxa" w:w="598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Imposte sul reddito dell’esercizio, correnti, differite e anticipate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–</w:t>
            </w:r>
          </w:p>
        </w:tc>
        <w:tc>
          <w:tcPr>
            <w:tcW w:type="dxa" w:w="1700"/>
            <w:tcBorders>
              <w:top w:val="single" w:color="BFCFE8" w:sz="4"/>
              <w:left w:val="single" w:color="BFCFE8" w:sz="4"/>
              <w:bottom w:val="single" w:color="BFCFE8" w:sz="4"/>
              <w:right w:val="single" w:color="BFCFE8" w:sz="4"/>
            </w:tcBorders>
            <w:shd w:fill="FFFF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(1,21)</w:t>
            </w:r>
          </w:p>
        </w:tc>
      </w:tr>
      <w:tr>
        <w:tc>
          <w:tcPr>
            <w:tcW w:type="dxa" w:w="6600"/>
            <w:gridSpan w:val="3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FFF8D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21.  Perdita (–) / Utile (+) dell’esercizio</w:t>
            </w:r>
          </w:p>
        </w:tc>
        <w:tc>
          <w:tcPr>
            <w:tcW w:type="dxa" w:w="17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FFF8D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(7.919,41) (*)</w:t>
            </w:r>
          </w:p>
        </w:tc>
        <w:tc>
          <w:tcPr>
            <w:tcW w:type="dxa" w:w="1700"/>
            <w:tcBorders>
              <w:top w:val="single" w:color="1F4E79" w:sz="10"/>
              <w:left w:val="single" w:color="BFCFE8" w:sz="4"/>
              <w:bottom w:val="single" w:color="1F4E79" w:sz="10"/>
              <w:right w:val="single" w:color="BFCFE8" w:sz="4"/>
            </w:tcBorders>
            <w:shd w:fill="FFF8D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8.294,94</w:t>
            </w:r>
          </w:p>
        </w:tc>
      </w:tr>
    </w:tbl>
    <w:p>
      <w:pPr>
        <w:spacing w:after="40" w:before="80"/>
        <w:jc w:val="both"/>
      </w:pPr>
      <w:r>
        <w:rPr>
          <w:rFonts w:ascii="Arial" w:cs="Arial" w:eastAsia="Arial" w:hAnsi="Arial"/>
          <w:b w:val="false"/>
          <w:bCs w:val="false"/>
          <w:i/>
          <w:iCs/>
          <w:color w:val="000000"/>
          <w:sz w:val="16"/>
          <w:szCs w:val="16"/>
        </w:rPr>
        <w:t xml:space="preserve">(*) Lo scostamento di € 0,58 rispetto al totale della situazione contabile (€ 93.774,74 / perdita € 7.919,41) è dovuto all’arrotondamento della voce abbuoni passivi. Il dato di perdita definitivo è € 7.919,41.</w:t>
      </w:r>
    </w:p>
    <w:p>
      <w:pPr>
        <w:spacing w:after="80" w:before="0"/>
        <w:jc w:val="both"/>
      </w:pPr>
      <w:r>
        <w:rPr>
          <w:rFonts w:ascii="Arial" w:cs="Arial" w:eastAsia="Arial" w:hAnsi="Arial"/>
          <w:b w:val="false"/>
          <w:bCs w:val="false"/>
          <w:i/>
          <w:iCs/>
          <w:color w:val="000000"/>
          <w:sz w:val="16"/>
          <w:szCs w:val="16"/>
        </w:rPr>
        <w:t xml:space="preserve">(**) I dati 2024 sono esposti a raffronto ed elaborati dal bilancio analitico 2024. Il bilancio è redatto in conformità al D.Lgs. 117/2017 e alle disposizioni del Codice Civile applicabili.</w:t>
      </w:r>
    </w:p>
    <w:p>
      <w:pPr>
        <w:spacing w:after="100" w:before="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after="100" w:before="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Milano, ___/___/2026</w:t>
      </w:r>
    </w:p>
    <w:p>
      <w:pPr>
        <w:spacing w:after="100" w:before="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after="100" w:before="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after="40" w:before="0"/>
        <w:jc w:val="left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Per il Consiglio di Amministrazione</w:t>
      </w:r>
    </w:p>
    <w:p>
      <w:pPr>
        <w:jc w:val="left"/>
      </w:pPr>
      <w:r>
        <w:rPr>
          <w:rFonts w:ascii="Arial" w:cs="Arial" w:eastAsia="Arial" w:hAnsi="Arial"/>
          <w:sz w:val="20"/>
          <w:szCs w:val="20"/>
        </w:rPr>
        <w:t xml:space="preserve">Annalisa Cerri, Presidente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2026-05-16T17:40:50.868Z</dcterms:created>
  <dcterms:modified xsi:type="dcterms:W3CDTF">2026-05-16T17:40:50.883Z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